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9" w:rsidRPr="000A3709" w:rsidRDefault="000A3709" w:rsidP="00735A20">
      <w:pPr>
        <w:pStyle w:val="Heading1"/>
        <w:numPr>
          <w:ilvl w:val="2"/>
          <w:numId w:val="4"/>
        </w:numPr>
        <w:tabs>
          <w:tab w:val="left" w:pos="1019"/>
        </w:tabs>
        <w:ind w:right="2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458876670"/>
      <w:bookmarkStart w:id="1" w:name="_Hlk458876769"/>
      <w:r w:rsidRPr="000A3709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Обязанности секретаря УИК в день голосования при проведении голосования избирателей</w:t>
      </w:r>
    </w:p>
    <w:bookmarkEnd w:id="0"/>
    <w:p w:rsidR="000A3709" w:rsidRPr="00B86FED" w:rsidRDefault="000A3709" w:rsidP="000A3709">
      <w:pPr>
        <w:pStyle w:val="a3"/>
        <w:spacing w:before="1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86FED" w:rsidRPr="00B86FED" w:rsidRDefault="00B86FED" w:rsidP="00B86FED">
      <w:pPr>
        <w:pStyle w:val="a3"/>
        <w:spacing w:before="10"/>
        <w:ind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FED">
        <w:rPr>
          <w:rFonts w:ascii="Times New Roman" w:hAnsi="Times New Roman" w:cs="Times New Roman"/>
          <w:b/>
          <w:sz w:val="26"/>
          <w:szCs w:val="26"/>
          <w:lang w:val="ru-RU"/>
        </w:rPr>
        <w:t>Секретарь УИК: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16"/>
        </w:tabs>
        <w:spacing w:before="120" w:line="240" w:lineRule="auto"/>
        <w:ind w:left="102" w:right="131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по поручению председателя УИК передает в соответствующую ТИК информацию об открытии помещения для голосования;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14"/>
        </w:tabs>
        <w:spacing w:before="120" w:line="240" w:lineRule="auto"/>
        <w:ind w:left="102" w:right="131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получает от членов УИК с правом решающего голоса, выдающих избирателям бюллетени для голосования в помещении для голосования, данные о количестве выданных избирательных бюллетеней. При этом для оперативного подсчета числа избирателей, принявших участие в выборах депутатов Государственной Думы,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подсчет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ведется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по выданным бюллетеням по федеральному избирательному округу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. Полученные данные секретарь УИК суммирует с данными об избирателях, дополнительно включенных в список, подсчитывает число избирателей, вклю</w:t>
      </w:r>
      <w:r w:rsidR="00FB04D2">
        <w:rPr>
          <w:rFonts w:ascii="Times New Roman" w:hAnsi="Times New Roman" w:cs="Times New Roman"/>
          <w:color w:val="231F20"/>
          <w:sz w:val="26"/>
          <w:lang w:val="ru-RU"/>
        </w:rPr>
        <w:t>ченных в список на от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четное время, и передает в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вышестоящую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ТИК в установленные сроки сведения об участии избирателей в выборах;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42"/>
        </w:tabs>
        <w:spacing w:before="120" w:line="240" w:lineRule="auto"/>
        <w:ind w:left="102" w:right="132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ведет список лиц, присутствовавших при проведении голосования, подсчете голосов избирателей и составлении протоколов об итогах голосования. В указанный список необходимо также вносить сведения о времени убытия указанных лиц;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30"/>
        </w:tabs>
        <w:spacing w:before="120" w:line="240" w:lineRule="auto"/>
        <w:ind w:left="102" w:right="110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контролирует соблюдение части 5 статьи 33 Федерального закона № 20-ФЗ, согласно которой назначенные в УИК политической партией, зарегистрировавшей федеральный список кандидатов, кандидатом, зарегистрированным по соответствующему одномандатному избирательному округу, наблюдатели имеют право поочередно осуществлять наблюдение в помещении для голосования;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29"/>
        </w:tabs>
        <w:spacing w:before="120" w:line="240" w:lineRule="auto"/>
        <w:ind w:left="102" w:right="131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вносит по предъявлении паспорта данные избирателя, не включенного в список избирателей, но имеющего право проголосовать на данном избирательном участке, в дополнительные листы списка избирателей, выдает ему избирательные бюллетени;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17"/>
        </w:tabs>
        <w:spacing w:before="120" w:line="240" w:lineRule="auto"/>
        <w:ind w:left="102" w:right="132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продолжает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до 14.00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ведение Реестра заявлений (обращений) о голосовании вне помещения для голосования;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41"/>
        </w:tabs>
        <w:spacing w:before="120" w:line="240" w:lineRule="auto"/>
        <w:ind w:left="102" w:right="131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в 14.00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завершает прием заявлений о предоставлении возможности проголосовать вне помещения для голосования. После этого информирует председателя УИК о количестве поступивших заявлений и возможных маршрутах выезда (выхода) к избирателям. При необходимости составляет выписки из реестра для обеспечения одновременного выезда (выхода) с несколькими переносными ящиками для голосования;</w:t>
      </w:r>
    </w:p>
    <w:p w:rsidR="000A3709" w:rsidRPr="007E0D49" w:rsidRDefault="000A3709" w:rsidP="000A3709">
      <w:pPr>
        <w:spacing w:before="120"/>
        <w:ind w:left="102" w:right="131" w:firstLine="567"/>
        <w:jc w:val="both"/>
        <w:rPr>
          <w:rFonts w:ascii="Times New Roman" w:hAnsi="Times New Roman" w:cs="Times New Roman"/>
          <w:sz w:val="26"/>
          <w:lang w:val="ru-RU"/>
        </w:rPr>
      </w:pPr>
      <w:bookmarkStart w:id="2" w:name="_Hlk458876944"/>
      <w:r w:rsidRPr="007E0D49">
        <w:rPr>
          <w:rFonts w:ascii="Times New Roman" w:hAnsi="Times New Roman" w:cs="Times New Roman"/>
          <w:color w:val="231F20"/>
          <w:sz w:val="26"/>
          <w:lang w:val="ru-RU"/>
        </w:rPr>
        <w:t>- для обозначения избирателей, к которым вые</w:t>
      </w:r>
      <w:r w:rsidR="00FB04D2">
        <w:rPr>
          <w:rFonts w:ascii="Times New Roman" w:hAnsi="Times New Roman" w:cs="Times New Roman"/>
          <w:color w:val="231F20"/>
          <w:sz w:val="26"/>
          <w:lang w:val="ru-RU"/>
        </w:rPr>
        <w:t>хали (вышли) члены УИК для про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ведения голосования вне помещения для голосования, организует проставление в списке избирателей напротив фамилий указанных избирателей отметок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«вне помещения для голосования»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57"/>
        </w:tabs>
        <w:spacing w:before="120" w:line="240" w:lineRule="auto"/>
        <w:ind w:left="102" w:right="112" w:firstLine="567"/>
        <w:rPr>
          <w:rFonts w:ascii="Times New Roman" w:hAnsi="Times New Roman" w:cs="Times New Roman"/>
          <w:i/>
          <w:sz w:val="26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готовит необходимое количество избирательных бюллетеней для передачи членам УИК, которые будут проводить голосование вне помещения для голосования, с учетом того, что число передаваемых бюллетеней не может превышать более чем на 5 процентов число полученных к моменту выезда (выхода) заявлений (устных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lastRenderedPageBreak/>
        <w:t>обращений) о возможности проголосовать вне помещения для голосования (но не менее двух бюллетеней).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(</w:t>
      </w:r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>Пример расчета: подано 20 заявлений. 5 процентов от 20 равно 1 бюллетень.</w:t>
      </w:r>
      <w:proofErr w:type="gramEnd"/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 xml:space="preserve"> </w:t>
      </w:r>
      <w:proofErr w:type="gramStart"/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>Но в связи с тем, что закон содержит оговорку «но не менее двух бюллетеней», членам УИК должно быть выдано 20+2 = по 22 бюллетеня по каждому округу.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)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Передает указанные бюллетени соответствующим членам УИК по ведомости;</w:t>
      </w:r>
    </w:p>
    <w:p w:rsidR="000A3709" w:rsidRPr="007E0D49" w:rsidRDefault="000A3709" w:rsidP="000A3709">
      <w:pPr>
        <w:pStyle w:val="Heading4"/>
        <w:numPr>
          <w:ilvl w:val="0"/>
          <w:numId w:val="1"/>
        </w:numPr>
        <w:tabs>
          <w:tab w:val="left" w:pos="823"/>
        </w:tabs>
        <w:spacing w:before="120" w:line="240" w:lineRule="auto"/>
        <w:ind w:left="102" w:right="117" w:firstLine="567"/>
        <w:rPr>
          <w:rFonts w:ascii="Times New Roman" w:hAnsi="Times New Roman" w:cs="Times New Roman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lang w:val="ru-RU"/>
        </w:rPr>
        <w:t>в случае прибытия в помещение для голосования наблюдателя секретарь УИК проверяет наличие сведений о нем в поступившем из ТИК списке наблюдателей, назначенных в УИК политическими партиями и зарегистрированными кандидатами.</w:t>
      </w:r>
      <w:proofErr w:type="gramEnd"/>
      <w:r w:rsidRPr="007E0D49">
        <w:rPr>
          <w:rFonts w:ascii="Times New Roman" w:hAnsi="Times New Roman" w:cs="Times New Roman"/>
          <w:color w:val="231F20"/>
          <w:lang w:val="ru-RU"/>
        </w:rPr>
        <w:t xml:space="preserve"> Дата и время представления наблюдателем направления отмечается в соответствующей графе списка наблюдателей;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56"/>
        </w:tabs>
        <w:spacing w:before="120" w:line="240" w:lineRule="auto"/>
        <w:ind w:left="102" w:right="11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у прибывшего в помещение для голосования представителя СМИ секретарь УИК проверяет наличие </w:t>
      </w:r>
      <w:proofErr w:type="spell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аккредитационного</w:t>
      </w:r>
      <w:proofErr w:type="spell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удостоверения, выданного в порядке, установленном  ЦИК России;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37"/>
        </w:tabs>
        <w:spacing w:before="120" w:line="240" w:lineRule="auto"/>
        <w:ind w:left="102" w:right="138" w:firstLine="567"/>
        <w:rPr>
          <w:rFonts w:ascii="Times New Roman" w:hAnsi="Times New Roman" w:cs="Times New Roman"/>
          <w:sz w:val="26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регулярно получает по телефону информацию о ходе голосования вне помещения для голосования и передает полученные сведения председателю </w:t>
      </w:r>
      <w:r w:rsidRPr="007E0D49">
        <w:rPr>
          <w:rFonts w:ascii="Times New Roman" w:hAnsi="Times New Roman" w:cs="Times New Roman"/>
          <w:color w:val="231F20"/>
          <w:sz w:val="26"/>
        </w:rPr>
        <w:t>УИК;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31"/>
        </w:tabs>
        <w:spacing w:before="120" w:line="240" w:lineRule="auto"/>
        <w:ind w:left="102" w:right="129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оказывает содействие членам УИК, которые по окончании проведения голосования вне помещения для голосования вносят данные об избирателях и отметку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«проголосовал»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 список избирателей, составляют акт о проведении голосования вне помещения для голосования (</w:t>
      </w:r>
      <w:proofErr w:type="gramStart"/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>см</w:t>
      </w:r>
      <w:proofErr w:type="gramEnd"/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>. также п. 4.3 настоящего Методического материала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);</w:t>
      </w:r>
    </w:p>
    <w:p w:rsidR="000A3709" w:rsidRPr="007E0D49" w:rsidRDefault="000A3709" w:rsidP="000A3709">
      <w:pPr>
        <w:pStyle w:val="Heading4"/>
        <w:numPr>
          <w:ilvl w:val="0"/>
          <w:numId w:val="1"/>
        </w:numPr>
        <w:tabs>
          <w:tab w:val="left" w:pos="823"/>
        </w:tabs>
        <w:spacing w:before="120" w:line="240" w:lineRule="auto"/>
        <w:ind w:left="102" w:right="128" w:firstLine="567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обеспечивает регистрацию входящих и исходящих документов, а также жалоб (обращений), обеспечивает проведение заседания (заседаний) УИК, готовит повестку дня, протокол заседания, проекты решений, изготавливает принятые решения, обеспечивает их доведение до заинтересованных лиц, осуществляет иные действия, связанные с обеспечением установленного порядка рассмотрения жалоб (обращений);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66"/>
        </w:tabs>
        <w:spacing w:before="120" w:line="240" w:lineRule="auto"/>
        <w:ind w:left="102" w:right="13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обеспечивает сохранность избирательных документов, в том числе избирательных бюллетеней, не переданных членам УИК для обеспечения голосования избирателей;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26"/>
        </w:tabs>
        <w:spacing w:before="120" w:line="240" w:lineRule="auto"/>
        <w:ind w:left="102" w:right="137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обеспечивает сохранность пустых переносных</w:t>
      </w:r>
      <w:r w:rsidR="00FB04D2">
        <w:rPr>
          <w:rFonts w:ascii="Times New Roman" w:hAnsi="Times New Roman" w:cs="Times New Roman"/>
          <w:color w:val="231F20"/>
          <w:sz w:val="26"/>
          <w:lang w:val="ru-RU"/>
        </w:rPr>
        <w:t xml:space="preserve"> ящиков для голосования, а так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же переносных ящиков для голосования с бюллетенями избирателей после возвращения членов УИК, проводивших голосование вне помещения для голосования;</w:t>
      </w:r>
    </w:p>
    <w:p w:rsidR="000A3709" w:rsidRPr="007E0D49" w:rsidRDefault="000A3709" w:rsidP="000A3709">
      <w:pPr>
        <w:pStyle w:val="a5"/>
        <w:numPr>
          <w:ilvl w:val="0"/>
          <w:numId w:val="1"/>
        </w:numPr>
        <w:tabs>
          <w:tab w:val="left" w:pos="829"/>
        </w:tabs>
        <w:spacing w:before="120" w:line="240" w:lineRule="auto"/>
        <w:ind w:left="102" w:right="13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выполняет иные обязанности, возложенные на него в соответствии с решением УИК.</w:t>
      </w:r>
    </w:p>
    <w:bookmarkEnd w:id="1"/>
    <w:p w:rsidR="000A3709" w:rsidRPr="007E0D49" w:rsidRDefault="000A3709" w:rsidP="000A3709">
      <w:pPr>
        <w:pStyle w:val="a3"/>
        <w:spacing w:before="120"/>
        <w:ind w:left="102" w:firstLine="567"/>
        <w:rPr>
          <w:rFonts w:ascii="Times New Roman" w:hAnsi="Times New Roman" w:cs="Times New Roman"/>
          <w:sz w:val="23"/>
          <w:lang w:val="ru-RU"/>
        </w:rPr>
      </w:pPr>
    </w:p>
    <w:p w:rsidR="000A3709" w:rsidRPr="007E0D49" w:rsidRDefault="000A3709" w:rsidP="000A3709">
      <w:pPr>
        <w:spacing w:before="120"/>
        <w:ind w:left="102" w:right="139" w:firstLine="567"/>
        <w:jc w:val="both"/>
        <w:rPr>
          <w:rFonts w:ascii="Times New Roman" w:hAnsi="Times New Roman" w:cs="Times New Roman"/>
          <w:i/>
          <w:sz w:val="26"/>
          <w:lang w:val="ru-RU"/>
        </w:rPr>
      </w:pPr>
      <w:bookmarkStart w:id="3" w:name="_Hlk458877063"/>
      <w:bookmarkEnd w:id="2"/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Примечание: </w:t>
      </w:r>
      <w:r w:rsidRPr="007E0D49">
        <w:rPr>
          <w:rFonts w:ascii="Times New Roman" w:hAnsi="Times New Roman" w:cs="Times New Roman"/>
          <w:i/>
          <w:color w:val="231F20"/>
          <w:sz w:val="26"/>
          <w:lang w:val="ru-RU"/>
        </w:rPr>
        <w:t>По решению УИК о распределении обязанностей членов УИК ряд вышеперечисленных действий может быть поручен и иным членам УИК.</w:t>
      </w:r>
    </w:p>
    <w:bookmarkEnd w:id="3"/>
    <w:p w:rsidR="00893728" w:rsidRPr="000A3709" w:rsidRDefault="00893728" w:rsidP="000A3709">
      <w:pPr>
        <w:spacing w:before="120"/>
        <w:ind w:left="102" w:firstLine="567"/>
        <w:rPr>
          <w:lang w:val="ru-RU"/>
        </w:rPr>
      </w:pPr>
    </w:p>
    <w:sectPr w:rsidR="00893728" w:rsidRPr="000A3709" w:rsidSect="000A3709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1">
    <w:nsid w:val="0F0271BE"/>
    <w:multiLevelType w:val="multilevel"/>
    <w:tmpl w:val="9CB697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  <w:color w:val="231F20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4112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  <w:color w:val="231F20"/>
      </w:rPr>
    </w:lvl>
  </w:abstractNum>
  <w:abstractNum w:abstractNumId="2">
    <w:nsid w:val="48D41E69"/>
    <w:multiLevelType w:val="multilevel"/>
    <w:tmpl w:val="B4F215D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  <w:color w:val="231F20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color w:val="231F20"/>
      </w:rPr>
    </w:lvl>
  </w:abstractNum>
  <w:abstractNum w:abstractNumId="3">
    <w:nsid w:val="59E31492"/>
    <w:multiLevelType w:val="multilevel"/>
    <w:tmpl w:val="72EAEBC4"/>
    <w:lvl w:ilvl="0">
      <w:start w:val="4"/>
      <w:numFmt w:val="decimal"/>
      <w:lvlText w:val="%1"/>
      <w:lvlJc w:val="left"/>
      <w:pPr>
        <w:ind w:left="2138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555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1.%2.%3."/>
      <w:lvlJc w:val="left"/>
      <w:pPr>
        <w:ind w:left="2119" w:hanging="78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3733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A3709"/>
    <w:rsid w:val="000558F1"/>
    <w:rsid w:val="000A3709"/>
    <w:rsid w:val="001E5DE9"/>
    <w:rsid w:val="002B2F26"/>
    <w:rsid w:val="002E5CB9"/>
    <w:rsid w:val="00581A68"/>
    <w:rsid w:val="005D02A5"/>
    <w:rsid w:val="0065234F"/>
    <w:rsid w:val="00735A20"/>
    <w:rsid w:val="00893728"/>
    <w:rsid w:val="00A8360B"/>
    <w:rsid w:val="00B86FED"/>
    <w:rsid w:val="00FB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A3709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37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3709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0A3709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0A3709"/>
    <w:pPr>
      <w:spacing w:line="312" w:lineRule="exact"/>
      <w:ind w:left="100" w:firstLine="567"/>
      <w:jc w:val="both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A3709"/>
    <w:pPr>
      <w:spacing w:line="312" w:lineRule="exact"/>
      <w:ind w:left="103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2016-08-11T15:31:00Z</dcterms:created>
  <dcterms:modified xsi:type="dcterms:W3CDTF">2016-08-23T06:13:00Z</dcterms:modified>
</cp:coreProperties>
</file>