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A2" w:rsidRPr="00506EA2" w:rsidRDefault="00506EA2" w:rsidP="00506EA2">
      <w:pPr>
        <w:pStyle w:val="Heading1"/>
        <w:numPr>
          <w:ilvl w:val="1"/>
          <w:numId w:val="2"/>
        </w:numPr>
        <w:tabs>
          <w:tab w:val="left" w:pos="851"/>
        </w:tabs>
        <w:spacing w:before="30" w:line="240" w:lineRule="auto"/>
        <w:ind w:left="0" w:right="454" w:firstLine="0"/>
        <w:jc w:val="center"/>
        <w:rPr>
          <w:rFonts w:ascii="Times New Roman" w:hAnsi="Times New Roman" w:cs="Times New Roman"/>
          <w:lang w:val="ru-RU"/>
        </w:rPr>
      </w:pPr>
      <w:r w:rsidRPr="00506EA2">
        <w:rPr>
          <w:rFonts w:ascii="Times New Roman" w:hAnsi="Times New Roman" w:cs="Times New Roman"/>
          <w:color w:val="231F20"/>
          <w:spacing w:val="18"/>
          <w:lang w:val="ru-RU"/>
        </w:rPr>
        <w:t>Представление</w:t>
      </w:r>
      <w:r w:rsidRPr="00506EA2">
        <w:rPr>
          <w:rFonts w:ascii="Times New Roman" w:hAnsi="Times New Roman" w:cs="Times New Roman"/>
          <w:color w:val="231F20"/>
          <w:spacing w:val="-41"/>
          <w:lang w:val="ru-RU"/>
        </w:rPr>
        <w:t xml:space="preserve"> </w:t>
      </w:r>
      <w:r w:rsidRPr="00506EA2">
        <w:rPr>
          <w:rFonts w:ascii="Times New Roman" w:hAnsi="Times New Roman" w:cs="Times New Roman"/>
          <w:color w:val="231F20"/>
          <w:spacing w:val="20"/>
          <w:lang w:val="ru-RU"/>
        </w:rPr>
        <w:t>первых</w:t>
      </w:r>
      <w:r w:rsidRPr="00506EA2">
        <w:rPr>
          <w:rFonts w:ascii="Times New Roman" w:hAnsi="Times New Roman" w:cs="Times New Roman"/>
          <w:color w:val="231F20"/>
          <w:spacing w:val="-42"/>
          <w:lang w:val="ru-RU"/>
        </w:rPr>
        <w:t xml:space="preserve"> </w:t>
      </w:r>
      <w:r w:rsidRPr="00506EA2">
        <w:rPr>
          <w:rFonts w:ascii="Times New Roman" w:hAnsi="Times New Roman" w:cs="Times New Roman"/>
          <w:color w:val="231F20"/>
          <w:spacing w:val="21"/>
          <w:lang w:val="ru-RU"/>
        </w:rPr>
        <w:t>экземпляров</w:t>
      </w:r>
      <w:r w:rsidRPr="00506EA2">
        <w:rPr>
          <w:rFonts w:ascii="Times New Roman" w:hAnsi="Times New Roman" w:cs="Times New Roman"/>
          <w:color w:val="231F20"/>
          <w:spacing w:val="-41"/>
          <w:lang w:val="ru-RU"/>
        </w:rPr>
        <w:t xml:space="preserve"> </w:t>
      </w:r>
      <w:r w:rsidRPr="00506EA2">
        <w:rPr>
          <w:rFonts w:ascii="Times New Roman" w:hAnsi="Times New Roman" w:cs="Times New Roman"/>
          <w:color w:val="231F20"/>
          <w:spacing w:val="17"/>
          <w:lang w:val="ru-RU"/>
        </w:rPr>
        <w:t xml:space="preserve">протоколов </w:t>
      </w:r>
      <w:r w:rsidRPr="00506EA2">
        <w:rPr>
          <w:rFonts w:ascii="Times New Roman" w:hAnsi="Times New Roman" w:cs="Times New Roman"/>
          <w:color w:val="231F20"/>
          <w:spacing w:val="16"/>
          <w:lang w:val="ru-RU"/>
        </w:rPr>
        <w:t>УИК</w:t>
      </w:r>
      <w:r w:rsidRPr="00506EA2">
        <w:rPr>
          <w:rFonts w:ascii="Times New Roman" w:hAnsi="Times New Roman" w:cs="Times New Roman"/>
          <w:color w:val="231F20"/>
          <w:spacing w:val="-43"/>
          <w:lang w:val="ru-RU"/>
        </w:rPr>
        <w:t xml:space="preserve"> </w:t>
      </w:r>
      <w:r w:rsidRPr="00506EA2">
        <w:rPr>
          <w:rFonts w:ascii="Times New Roman" w:hAnsi="Times New Roman" w:cs="Times New Roman"/>
          <w:color w:val="231F20"/>
          <w:spacing w:val="12"/>
          <w:lang w:val="ru-RU"/>
        </w:rPr>
        <w:t>об</w:t>
      </w:r>
      <w:r w:rsidRPr="00506EA2">
        <w:rPr>
          <w:rFonts w:ascii="Times New Roman" w:hAnsi="Times New Roman" w:cs="Times New Roman"/>
          <w:color w:val="231F20"/>
          <w:spacing w:val="-39"/>
          <w:lang w:val="ru-RU"/>
        </w:rPr>
        <w:t xml:space="preserve"> </w:t>
      </w:r>
      <w:r w:rsidRPr="00506EA2">
        <w:rPr>
          <w:rFonts w:ascii="Times New Roman" w:hAnsi="Times New Roman" w:cs="Times New Roman"/>
          <w:color w:val="231F20"/>
          <w:spacing w:val="13"/>
          <w:lang w:val="ru-RU"/>
        </w:rPr>
        <w:t>итогах</w:t>
      </w:r>
      <w:r w:rsidRPr="00506EA2">
        <w:rPr>
          <w:rFonts w:ascii="Times New Roman" w:hAnsi="Times New Roman" w:cs="Times New Roman"/>
          <w:color w:val="231F20"/>
          <w:spacing w:val="-40"/>
          <w:lang w:val="ru-RU"/>
        </w:rPr>
        <w:t xml:space="preserve"> </w:t>
      </w:r>
      <w:r w:rsidRPr="00506EA2">
        <w:rPr>
          <w:rFonts w:ascii="Times New Roman" w:hAnsi="Times New Roman" w:cs="Times New Roman"/>
          <w:color w:val="231F20"/>
          <w:spacing w:val="19"/>
          <w:lang w:val="ru-RU"/>
        </w:rPr>
        <w:t>голосования</w:t>
      </w:r>
      <w:r w:rsidRPr="00506EA2">
        <w:rPr>
          <w:rFonts w:ascii="Times New Roman" w:hAnsi="Times New Roman" w:cs="Times New Roman"/>
          <w:color w:val="231F20"/>
          <w:spacing w:val="-39"/>
          <w:lang w:val="ru-RU"/>
        </w:rPr>
        <w:t xml:space="preserve"> </w:t>
      </w:r>
      <w:r w:rsidRPr="00506EA2">
        <w:rPr>
          <w:rFonts w:ascii="Times New Roman" w:hAnsi="Times New Roman" w:cs="Times New Roman"/>
          <w:color w:val="231F20"/>
          <w:lang w:val="ru-RU"/>
        </w:rPr>
        <w:t>в</w:t>
      </w:r>
      <w:r w:rsidRPr="00506EA2">
        <w:rPr>
          <w:rFonts w:ascii="Times New Roman" w:hAnsi="Times New Roman" w:cs="Times New Roman"/>
          <w:color w:val="231F20"/>
          <w:spacing w:val="-43"/>
          <w:lang w:val="ru-RU"/>
        </w:rPr>
        <w:t xml:space="preserve"> </w:t>
      </w:r>
      <w:r w:rsidRPr="00506EA2">
        <w:rPr>
          <w:rFonts w:ascii="Times New Roman" w:hAnsi="Times New Roman" w:cs="Times New Roman"/>
          <w:color w:val="231F20"/>
          <w:spacing w:val="16"/>
          <w:lang w:val="ru-RU"/>
        </w:rPr>
        <w:t>ТИК</w:t>
      </w:r>
    </w:p>
    <w:p w:rsidR="00506EA2" w:rsidRPr="00506EA2" w:rsidRDefault="00506EA2" w:rsidP="00506EA2">
      <w:pPr>
        <w:pStyle w:val="a3"/>
        <w:rPr>
          <w:rFonts w:ascii="Times New Roman" w:hAnsi="Times New Roman" w:cs="Times New Roman"/>
          <w:b/>
          <w:sz w:val="30"/>
          <w:lang w:val="ru-RU"/>
        </w:rPr>
      </w:pPr>
    </w:p>
    <w:p w:rsidR="00506EA2" w:rsidRPr="00506EA2" w:rsidRDefault="00506EA2" w:rsidP="00506EA2">
      <w:pPr>
        <w:spacing w:before="120"/>
        <w:ind w:left="113" w:right="118" w:firstLine="567"/>
        <w:jc w:val="both"/>
        <w:rPr>
          <w:rFonts w:ascii="Times New Roman" w:hAnsi="Times New Roman" w:cs="Times New Roman"/>
          <w:sz w:val="25"/>
          <w:lang w:val="ru-RU"/>
        </w:rPr>
      </w:pPr>
      <w:proofErr w:type="gramStart"/>
      <w:r w:rsidRPr="00506EA2">
        <w:rPr>
          <w:rFonts w:ascii="Times New Roman" w:hAnsi="Times New Roman" w:cs="Times New Roman"/>
          <w:color w:val="231F20"/>
          <w:sz w:val="25"/>
          <w:lang w:val="ru-RU"/>
        </w:rPr>
        <w:t>Первые экземпляры протоколов № 1 и № 2 УИК об итогах голосования по выборам депутатов Государственной Думы Федерального Собрания Российской Федерации седьмого созыва после подписания их всеми присутствующими членами УИК с правом решающего голоса и выдачи их заверенных копий лицам, имеющим право на их получение, незамедлительно направляются в соответствующую ТИК и возврату в УИК не подлежат.</w:t>
      </w:r>
      <w:proofErr w:type="gramEnd"/>
    </w:p>
    <w:p w:rsidR="00506EA2" w:rsidRPr="00506EA2" w:rsidRDefault="00506EA2" w:rsidP="00506EA2">
      <w:pPr>
        <w:spacing w:before="120"/>
        <w:ind w:left="113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506EA2">
        <w:rPr>
          <w:rFonts w:ascii="Times New Roman" w:hAnsi="Times New Roman" w:cs="Times New Roman"/>
          <w:color w:val="231F20"/>
          <w:sz w:val="25"/>
          <w:lang w:val="ru-RU"/>
        </w:rPr>
        <w:t xml:space="preserve">Первые экземпляры протоколов </w:t>
      </w:r>
      <w:r w:rsidRPr="00506EA2">
        <w:rPr>
          <w:rFonts w:ascii="Times New Roman" w:hAnsi="Times New Roman" w:cs="Times New Roman"/>
          <w:b/>
          <w:color w:val="231F20"/>
          <w:sz w:val="25"/>
          <w:lang w:val="ru-RU"/>
        </w:rPr>
        <w:t xml:space="preserve">с приложенными к нему документами </w:t>
      </w:r>
      <w:r w:rsidRPr="00506EA2">
        <w:rPr>
          <w:rFonts w:ascii="Times New Roman" w:hAnsi="Times New Roman" w:cs="Times New Roman"/>
          <w:color w:val="231F20"/>
          <w:sz w:val="25"/>
          <w:lang w:val="ru-RU"/>
        </w:rPr>
        <w:t>доставляются в ТИК председателем, секретарем или иным членом УИК с правом решающего голоса по поручению ее председателя.</w:t>
      </w:r>
    </w:p>
    <w:p w:rsidR="00506EA2" w:rsidRPr="00506EA2" w:rsidRDefault="00506EA2" w:rsidP="00506EA2">
      <w:pPr>
        <w:spacing w:before="120"/>
        <w:ind w:left="113" w:right="112" w:firstLine="567"/>
        <w:jc w:val="both"/>
        <w:rPr>
          <w:rFonts w:ascii="Times New Roman" w:hAnsi="Times New Roman" w:cs="Times New Roman"/>
          <w:color w:val="231F20"/>
          <w:sz w:val="25"/>
          <w:lang w:val="ru-RU"/>
        </w:rPr>
      </w:pPr>
      <w:r w:rsidRPr="00506EA2">
        <w:rPr>
          <w:rFonts w:ascii="Times New Roman" w:hAnsi="Times New Roman" w:cs="Times New Roman"/>
          <w:color w:val="231F20"/>
          <w:sz w:val="25"/>
          <w:lang w:val="ru-RU"/>
        </w:rPr>
        <w:t xml:space="preserve">При передаче протоколов УИК в ТИК вправе присутствовать другие члены УИК, а также наблюдатели, направленные в </w:t>
      </w:r>
      <w:proofErr w:type="gramStart"/>
      <w:r w:rsidRPr="00506EA2">
        <w:rPr>
          <w:rFonts w:ascii="Times New Roman" w:hAnsi="Times New Roman" w:cs="Times New Roman"/>
          <w:color w:val="231F20"/>
          <w:sz w:val="25"/>
          <w:lang w:val="ru-RU"/>
        </w:rPr>
        <w:t>данную</w:t>
      </w:r>
      <w:proofErr w:type="gramEnd"/>
      <w:r w:rsidRPr="00506EA2">
        <w:rPr>
          <w:rFonts w:ascii="Times New Roman" w:hAnsi="Times New Roman" w:cs="Times New Roman"/>
          <w:color w:val="231F20"/>
          <w:sz w:val="25"/>
          <w:lang w:val="ru-RU"/>
        </w:rPr>
        <w:t xml:space="preserve"> УИК. Председатель УИК информирует всех членов УИК, а также наблюдателей, присутствовавших при подсчете голосов избирателей и составлении протокола об итогах голосования, о времени отъезда в ТИК, а также об адресе места нахождения ТИК и о возможных способах их прибытия в ТИК.</w:t>
      </w:r>
    </w:p>
    <w:p w:rsidR="00506EA2" w:rsidRPr="00506EA2" w:rsidRDefault="00506EA2" w:rsidP="00506EA2">
      <w:pPr>
        <w:spacing w:before="120"/>
        <w:ind w:left="113" w:right="112" w:firstLine="567"/>
        <w:jc w:val="both"/>
        <w:rPr>
          <w:rFonts w:ascii="Times New Roman" w:hAnsi="Times New Roman" w:cs="Times New Roman"/>
          <w:color w:val="231F20"/>
          <w:sz w:val="25"/>
          <w:lang w:val="ru-RU"/>
        </w:rPr>
      </w:pPr>
    </w:p>
    <w:p w:rsidR="00506EA2" w:rsidRPr="00506EA2" w:rsidRDefault="00506EA2" w:rsidP="00506EA2">
      <w:pPr>
        <w:spacing w:before="120"/>
        <w:ind w:left="113" w:right="60" w:firstLine="567"/>
        <w:jc w:val="both"/>
        <w:rPr>
          <w:rFonts w:ascii="Times New Roman" w:hAnsi="Times New Roman" w:cs="Times New Roman"/>
          <w:b/>
          <w:sz w:val="25"/>
          <w:lang w:val="ru-RU"/>
        </w:rPr>
      </w:pPr>
      <w:r w:rsidRPr="00506EA2">
        <w:rPr>
          <w:rFonts w:ascii="Times New Roman" w:hAnsi="Times New Roman" w:cs="Times New Roman"/>
          <w:b/>
          <w:color w:val="231F20"/>
          <w:sz w:val="25"/>
          <w:lang w:val="ru-RU"/>
        </w:rPr>
        <w:t xml:space="preserve">Председатель УИК перед выездом информирует </w:t>
      </w:r>
      <w:proofErr w:type="gramStart"/>
      <w:r w:rsidRPr="00506EA2">
        <w:rPr>
          <w:rFonts w:ascii="Times New Roman" w:hAnsi="Times New Roman" w:cs="Times New Roman"/>
          <w:b/>
          <w:color w:val="231F20"/>
          <w:sz w:val="25"/>
          <w:lang w:val="ru-RU"/>
        </w:rPr>
        <w:t>вышестоящую</w:t>
      </w:r>
      <w:proofErr w:type="gramEnd"/>
      <w:r w:rsidRPr="00506EA2">
        <w:rPr>
          <w:rFonts w:ascii="Times New Roman" w:hAnsi="Times New Roman" w:cs="Times New Roman"/>
          <w:b/>
          <w:color w:val="231F20"/>
          <w:sz w:val="25"/>
          <w:lang w:val="ru-RU"/>
        </w:rPr>
        <w:t xml:space="preserve"> ТИК о завершении выдачи копий протоколов УИК и готовности к выезду председателя УИК с первыми экземплярами протоколов УИК об итогах голосования.</w:t>
      </w:r>
    </w:p>
    <w:p w:rsidR="00506EA2" w:rsidRPr="00506EA2" w:rsidRDefault="00506EA2" w:rsidP="00506EA2">
      <w:pPr>
        <w:pStyle w:val="a3"/>
        <w:spacing w:before="120"/>
        <w:ind w:left="113" w:firstLine="567"/>
        <w:rPr>
          <w:rFonts w:ascii="Times New Roman" w:hAnsi="Times New Roman" w:cs="Times New Roman"/>
          <w:sz w:val="17"/>
          <w:lang w:val="ru-RU"/>
        </w:rPr>
      </w:pPr>
    </w:p>
    <w:p w:rsidR="00506EA2" w:rsidRPr="00506EA2" w:rsidRDefault="00506EA2" w:rsidP="00506EA2">
      <w:pPr>
        <w:spacing w:before="120"/>
        <w:ind w:left="113" w:right="117" w:firstLine="567"/>
        <w:jc w:val="both"/>
        <w:rPr>
          <w:rFonts w:ascii="Times New Roman" w:hAnsi="Times New Roman" w:cs="Times New Roman"/>
          <w:b/>
          <w:sz w:val="25"/>
          <w:lang w:val="ru-RU"/>
        </w:rPr>
      </w:pPr>
      <w:r w:rsidRPr="00506EA2">
        <w:rPr>
          <w:rFonts w:ascii="Times New Roman" w:hAnsi="Times New Roman" w:cs="Times New Roman"/>
          <w:color w:val="231F20"/>
          <w:sz w:val="25"/>
          <w:lang w:val="ru-RU"/>
        </w:rPr>
        <w:t xml:space="preserve">Вторые экземпляры протоколов </w:t>
      </w:r>
      <w:r w:rsidRPr="00506EA2">
        <w:rPr>
          <w:rFonts w:ascii="Times New Roman" w:hAnsi="Times New Roman" w:cs="Times New Roman"/>
          <w:b/>
          <w:color w:val="231F20"/>
          <w:sz w:val="25"/>
          <w:lang w:val="ru-RU"/>
        </w:rPr>
        <w:t xml:space="preserve">вместе со всей избирательной документацией </w:t>
      </w:r>
      <w:r w:rsidRPr="00506EA2">
        <w:rPr>
          <w:rFonts w:ascii="Times New Roman" w:hAnsi="Times New Roman" w:cs="Times New Roman"/>
          <w:color w:val="231F20"/>
          <w:sz w:val="25"/>
          <w:lang w:val="ru-RU"/>
        </w:rPr>
        <w:t xml:space="preserve">также передаются в ТИК.  Дата  и  время  передачи  определяются  вышестоящей  комиссией (как  правило,  не  позднее  чем  через  пять  дней  после  официального  опубликования результатов выборов депутатов Государственной Думы), в том числе не исключается передача вторых экземпляров протоколов и всей избирательной документации в ТИК одновременно с передачей первых экземпляров протоколов УИК. </w:t>
      </w:r>
      <w:r w:rsidRPr="00506EA2">
        <w:rPr>
          <w:rFonts w:ascii="Times New Roman" w:hAnsi="Times New Roman" w:cs="Times New Roman"/>
          <w:b/>
          <w:color w:val="231F20"/>
          <w:sz w:val="25"/>
          <w:lang w:val="ru-RU"/>
        </w:rPr>
        <w:t>Ко вторым экземплярам протоколов в обязательном порядке должны быть приложены заверенные копии документов, приложенных к первым  экземплярам.</w:t>
      </w:r>
    </w:p>
    <w:p w:rsidR="00506EA2" w:rsidRPr="002E01F6" w:rsidRDefault="00506EA2" w:rsidP="00506EA2">
      <w:pPr>
        <w:pStyle w:val="a3"/>
        <w:rPr>
          <w:rFonts w:ascii="Century Gothic"/>
          <w:b/>
          <w:sz w:val="24"/>
          <w:lang w:val="ru-RU"/>
        </w:rPr>
      </w:pPr>
    </w:p>
    <w:p w:rsidR="00506EA2" w:rsidRPr="002E01F6" w:rsidRDefault="00506EA2" w:rsidP="00506EA2">
      <w:pPr>
        <w:pStyle w:val="a3"/>
        <w:spacing w:before="10"/>
        <w:rPr>
          <w:rFonts w:ascii="Century Gothic"/>
          <w:b/>
          <w:sz w:val="25"/>
          <w:lang w:val="ru-RU"/>
        </w:rPr>
      </w:pPr>
    </w:p>
    <w:p w:rsidR="00893728" w:rsidRPr="00506EA2" w:rsidRDefault="00893728">
      <w:pPr>
        <w:rPr>
          <w:lang w:val="ru-RU"/>
        </w:rPr>
      </w:pPr>
    </w:p>
    <w:sectPr w:rsidR="00893728" w:rsidRPr="00506EA2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C76"/>
    <w:multiLevelType w:val="multilevel"/>
    <w:tmpl w:val="9FA4BECA"/>
    <w:lvl w:ilvl="0">
      <w:start w:val="5"/>
      <w:numFmt w:val="decimal"/>
      <w:lvlText w:val="%1"/>
      <w:lvlJc w:val="left"/>
      <w:pPr>
        <w:ind w:left="1917" w:hanging="52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05" w:hanging="520"/>
        <w:jc w:val="right"/>
      </w:pPr>
      <w:rPr>
        <w:rFonts w:ascii="Century Gothic" w:eastAsia="Century Gothic" w:hAnsi="Century Gothic" w:cs="Century Gothic" w:hint="default"/>
        <w:b/>
        <w:bCs/>
        <w:color w:val="231F20"/>
        <w:spacing w:val="-36"/>
        <w:w w:val="87"/>
        <w:sz w:val="30"/>
        <w:szCs w:val="30"/>
      </w:rPr>
    </w:lvl>
    <w:lvl w:ilvl="2">
      <w:start w:val="1"/>
      <w:numFmt w:val="decimal"/>
      <w:lvlText w:val="%1.%2.%3."/>
      <w:lvlJc w:val="left"/>
      <w:pPr>
        <w:ind w:left="3247" w:hanging="748"/>
        <w:jc w:val="right"/>
      </w:pPr>
      <w:rPr>
        <w:rFonts w:ascii="Century Gothic" w:eastAsia="Century Gothic" w:hAnsi="Century Gothic" w:cs="Century Gothic" w:hint="default"/>
        <w:b/>
        <w:bCs/>
        <w:color w:val="231F20"/>
        <w:spacing w:val="-36"/>
        <w:w w:val="94"/>
        <w:sz w:val="30"/>
        <w:szCs w:val="30"/>
      </w:rPr>
    </w:lvl>
    <w:lvl w:ilvl="3">
      <w:start w:val="1"/>
      <w:numFmt w:val="bullet"/>
      <w:lvlText w:val="•"/>
      <w:lvlJc w:val="left"/>
      <w:pPr>
        <w:ind w:left="4069" w:hanging="7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8" w:hanging="7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7" w:hanging="7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7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7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4" w:hanging="748"/>
      </w:pPr>
      <w:rPr>
        <w:rFonts w:hint="default"/>
      </w:rPr>
    </w:lvl>
  </w:abstractNum>
  <w:abstractNum w:abstractNumId="1">
    <w:nsid w:val="40374412"/>
    <w:multiLevelType w:val="multilevel"/>
    <w:tmpl w:val="671C0130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  <w:color w:val="231F20"/>
      </w:rPr>
    </w:lvl>
    <w:lvl w:ilvl="1">
      <w:start w:val="8"/>
      <w:numFmt w:val="decimal"/>
      <w:lvlText w:val="%1.%2."/>
      <w:lvlJc w:val="left"/>
      <w:pPr>
        <w:ind w:left="2825" w:hanging="7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5290" w:hanging="108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7395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9860" w:hanging="144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2325" w:hanging="180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4790" w:hanging="216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6895" w:hanging="216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9360" w:hanging="2520"/>
      </w:pPr>
      <w:rPr>
        <w:rFonts w:hint="default"/>
        <w:color w:val="231F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F71D93"/>
    <w:rsid w:val="00506EA2"/>
    <w:rsid w:val="007C7696"/>
    <w:rsid w:val="00893728"/>
    <w:rsid w:val="00F71D93"/>
    <w:rsid w:val="00F8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06EA2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6EA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06EA2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506EA2"/>
    <w:pPr>
      <w:spacing w:line="360" w:lineRule="exact"/>
      <w:ind w:left="2105"/>
      <w:outlineLvl w:val="1"/>
    </w:pPr>
    <w:rPr>
      <w:rFonts w:ascii="Century Gothic" w:eastAsia="Century Gothic" w:hAnsi="Century Gothic" w:cs="Century Gothic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2016-08-17T14:20:00Z</dcterms:created>
  <dcterms:modified xsi:type="dcterms:W3CDTF">2016-08-17T14:23:00Z</dcterms:modified>
</cp:coreProperties>
</file>